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B4E" w:rsidRDefault="00E67B4E">
      <w:pPr>
        <w:spacing w:line="580" w:lineRule="exact"/>
        <w:jc w:val="left"/>
        <w:rPr>
          <w:rFonts w:ascii="仿宋_GB2312" w:eastAsia="仿宋_GB2312" w:hAnsi="华文仿宋"/>
          <w:bCs/>
          <w:color w:val="000000"/>
          <w:sz w:val="32"/>
          <w:szCs w:val="32"/>
        </w:rPr>
      </w:pPr>
    </w:p>
    <w:p w:rsidR="00E67B4E" w:rsidRDefault="00E67B4E">
      <w:pPr>
        <w:spacing w:line="580" w:lineRule="exact"/>
        <w:jc w:val="center"/>
        <w:rPr>
          <w:rFonts w:ascii="仿宋_GB2312" w:eastAsia="仿宋_GB2312" w:hAnsi="仿宋"/>
          <w:b/>
          <w:color w:val="000000"/>
          <w:sz w:val="36"/>
          <w:szCs w:val="36"/>
        </w:rPr>
      </w:pPr>
      <w:r>
        <w:rPr>
          <w:rFonts w:ascii="宋体" w:hAnsi="宋体" w:hint="eastAsia"/>
          <w:b/>
          <w:color w:val="000000"/>
          <w:sz w:val="44"/>
          <w:szCs w:val="44"/>
        </w:rPr>
        <w:t>建设工程项目绿色建造竞赛活动实施办法</w:t>
      </w:r>
    </w:p>
    <w:p w:rsidR="00E67B4E" w:rsidRDefault="00E67B4E">
      <w:pPr>
        <w:spacing w:line="580" w:lineRule="exact"/>
        <w:jc w:val="center"/>
        <w:rPr>
          <w:rFonts w:ascii="仿宋_GB2312" w:eastAsia="仿宋_GB2312" w:hAnsi="仿宋"/>
          <w:b/>
          <w:color w:val="000000"/>
          <w:sz w:val="32"/>
          <w:szCs w:val="32"/>
        </w:rPr>
      </w:pP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第一章 总则</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第一条</w:t>
      </w:r>
      <w:r>
        <w:rPr>
          <w:rFonts w:ascii="仿宋_GB2312" w:eastAsia="仿宋_GB2312" w:hAnsi="仿宋" w:hint="eastAsia"/>
          <w:color w:val="000000"/>
          <w:sz w:val="32"/>
          <w:szCs w:val="32"/>
        </w:rPr>
        <w:t xml:space="preserve"> 为贯彻国家建设生态文明的大计方针，落实国家倡导的绿色发展要求，践行可持续发展战略，依据国务院办公厅《关于促进建筑业持续健康发展的意见》（国办发〔2017〕19号）和《关于完善质量保障体系提升建筑工程品质指导意见的通知》（国办函〔2019〕92号）有关推进绿色建造的要求，总结和提炼绿色建造实践中先进技术、创新工艺和管理经验，科学、规范地实施建设工程项目的绿色建造，制订本办法。</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第二条</w:t>
      </w:r>
      <w:r>
        <w:rPr>
          <w:rFonts w:ascii="仿宋_GB2312" w:eastAsia="仿宋_GB2312" w:hAnsi="仿宋" w:hint="eastAsia"/>
          <w:color w:val="000000"/>
          <w:sz w:val="32"/>
          <w:szCs w:val="32"/>
        </w:rPr>
        <w:t xml:space="preserve"> 建设工程项目绿色建造竞赛活动（以下简称竞赛活动）倡导以人为本，促进建设工程全寿命期的社会、环境、资源、经济和技术效益的最优化。通过竞赛活动提升建设工程的绿色化和智能化水平。</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第三条</w:t>
      </w:r>
      <w:r>
        <w:rPr>
          <w:rFonts w:ascii="仿宋_GB2312" w:eastAsia="仿宋_GB2312" w:hAnsi="仿宋" w:hint="eastAsia"/>
          <w:color w:val="000000"/>
          <w:sz w:val="32"/>
          <w:szCs w:val="32"/>
        </w:rPr>
        <w:t xml:space="preserve"> 竞赛活动不收取费用，遵循企业自愿参与、强化过程检查、不断总结提高、逐步推广实施的理念。</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第二章 竞赛活动内容</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第四条</w:t>
      </w:r>
      <w:r>
        <w:rPr>
          <w:rFonts w:ascii="仿宋_GB2312" w:eastAsia="仿宋_GB2312" w:hAnsi="仿宋" w:hint="eastAsia"/>
          <w:color w:val="000000"/>
          <w:sz w:val="32"/>
          <w:szCs w:val="32"/>
        </w:rPr>
        <w:t xml:space="preserve"> 竞赛活动分为绿色设计、绿色施工以及绿色建造三类竞赛活动。</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第五条</w:t>
      </w:r>
      <w:r>
        <w:rPr>
          <w:rFonts w:ascii="仿宋_GB2312" w:eastAsia="仿宋_GB2312" w:hAnsi="仿宋" w:hint="eastAsia"/>
          <w:color w:val="000000"/>
          <w:sz w:val="32"/>
          <w:szCs w:val="32"/>
        </w:rPr>
        <w:t xml:space="preserve"> 绿色设计竞赛活动和绿色施工竞赛活动分别在工程设计院和施工企业中开展；绿色建造竞赛活动适用于PPP、EPC、PEPC等工程总承包模式。</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lastRenderedPageBreak/>
        <w:t>第六条</w:t>
      </w:r>
      <w:r>
        <w:rPr>
          <w:rFonts w:ascii="仿宋_GB2312" w:eastAsia="仿宋_GB2312" w:hAnsi="仿宋" w:hint="eastAsia"/>
          <w:color w:val="000000"/>
          <w:sz w:val="32"/>
          <w:szCs w:val="32"/>
        </w:rPr>
        <w:t xml:space="preserve"> 绿色设计竞赛活动是指在工程设计中，贯彻绿色化发展理念，遵循保护环境、节约资源、减少污染的原则，采用绿色建筑适宜技术等方面所开展的竞赛工作。</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第七条</w:t>
      </w:r>
      <w:r>
        <w:rPr>
          <w:rFonts w:ascii="仿宋_GB2312" w:eastAsia="仿宋_GB2312" w:hAnsi="仿宋" w:hint="eastAsia"/>
          <w:color w:val="000000"/>
          <w:sz w:val="32"/>
          <w:szCs w:val="32"/>
        </w:rPr>
        <w:t xml:space="preserve"> 绿色施工竞赛活动是指从工程施工立项到工程竣工期间，遵循环境保护、资源节约、以人为本的原则，在保证质量、安全等基本要求的前提下，在绿色施工组织、管理、实施等方面开展的竞赛工作。</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第八条</w:t>
      </w:r>
      <w:r>
        <w:rPr>
          <w:rFonts w:ascii="仿宋_GB2312" w:eastAsia="仿宋_GB2312" w:hAnsi="仿宋" w:hint="eastAsia"/>
          <w:color w:val="000000"/>
          <w:sz w:val="32"/>
          <w:szCs w:val="32"/>
        </w:rPr>
        <w:t xml:space="preserve"> 绿色建造竞赛活动是指从工程立项策划到竣工验收完成期间，在保证工程质量和安全的前提下，践行可持续发展理念，通过科学管理和技术进步，在工程建造过程中坚持以人为本，最大限度地节约资源、保护环境、减少污染，执行绿色设计理念，实现绿色施工要求，建成绿色工程产品所开展的竞赛工作。</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第三章 组织机构和职责</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黑体" w:eastAsia="黑体" w:hAnsi="黑体" w:cs="黑体" w:hint="eastAsia"/>
          <w:bCs/>
          <w:color w:val="000000"/>
          <w:sz w:val="32"/>
          <w:szCs w:val="32"/>
        </w:rPr>
        <w:t>第九条</w:t>
      </w:r>
      <w:r>
        <w:rPr>
          <w:rFonts w:ascii="仿宋_GB2312" w:eastAsia="仿宋_GB2312" w:hAnsi="仿宋" w:hint="eastAsia"/>
          <w:color w:val="000000"/>
          <w:sz w:val="32"/>
          <w:szCs w:val="32"/>
        </w:rPr>
        <w:t xml:space="preserve"> 竞赛活动由中国建筑业协会（以下简称中建协）主办，中国建筑业协会绿色建造与智能建筑分会（以下简称中建协绿色与智能分会）承办。</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黑体" w:eastAsia="黑体" w:hAnsi="黑体" w:cs="黑体" w:hint="eastAsia"/>
          <w:bCs/>
          <w:color w:val="000000"/>
          <w:sz w:val="32"/>
          <w:szCs w:val="32"/>
        </w:rPr>
        <w:t>第十条</w:t>
      </w:r>
      <w:r>
        <w:rPr>
          <w:rFonts w:ascii="仿宋_GB2312" w:eastAsia="仿宋_GB2312" w:hAnsi="仿宋" w:hint="eastAsia"/>
          <w:color w:val="000000"/>
          <w:sz w:val="32"/>
          <w:szCs w:val="32"/>
        </w:rPr>
        <w:t xml:space="preserve"> 竞赛活动成立组委会，组委会由9-15（单数）名委员组成，设主任1名、副主任若干名。</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黑体" w:eastAsia="黑体" w:hAnsi="黑体" w:cs="黑体" w:hint="eastAsia"/>
          <w:bCs/>
          <w:color w:val="000000"/>
          <w:sz w:val="32"/>
          <w:szCs w:val="32"/>
        </w:rPr>
        <w:t>第十一条</w:t>
      </w:r>
      <w:r>
        <w:rPr>
          <w:rFonts w:ascii="仿宋_GB2312" w:eastAsia="仿宋_GB2312" w:hAnsi="仿宋" w:hint="eastAsia"/>
          <w:color w:val="000000"/>
          <w:sz w:val="32"/>
          <w:szCs w:val="32"/>
        </w:rPr>
        <w:t xml:space="preserve"> 竞赛活动组委会主要职责是：</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仿宋_GB2312" w:eastAsia="仿宋_GB2312" w:hAnsi="仿宋" w:hint="eastAsia"/>
          <w:color w:val="000000"/>
          <w:sz w:val="32"/>
          <w:szCs w:val="32"/>
        </w:rPr>
        <w:t>（一）根据国家有关法律法规，在政府部门的指导下，研究制定竞赛活动的发展规划和工作方案。</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仿宋_GB2312" w:eastAsia="仿宋_GB2312" w:hAnsi="仿宋" w:hint="eastAsia"/>
          <w:color w:val="000000"/>
          <w:sz w:val="32"/>
          <w:szCs w:val="32"/>
        </w:rPr>
        <w:t>（二）研究起草竞赛活动的有关文件，包括实施方案等。</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仿宋_GB2312" w:eastAsia="仿宋_GB2312" w:hAnsi="仿宋" w:hint="eastAsia"/>
          <w:color w:val="000000"/>
          <w:sz w:val="32"/>
          <w:szCs w:val="32"/>
        </w:rPr>
        <w:t>（三）组织并指导竞赛活动的开展。</w:t>
      </w:r>
    </w:p>
    <w:p w:rsidR="00E67B4E" w:rsidRDefault="00E67B4E">
      <w:pPr>
        <w:spacing w:line="580" w:lineRule="exact"/>
        <w:ind w:firstLineChars="200" w:firstLine="640"/>
        <w:jc w:val="left"/>
        <w:rPr>
          <w:rFonts w:ascii="仿宋_GB2312" w:eastAsia="仿宋_GB2312" w:hAnsi="仿宋"/>
          <w:color w:val="000000"/>
          <w:sz w:val="32"/>
          <w:szCs w:val="32"/>
        </w:rPr>
      </w:pPr>
      <w:r>
        <w:rPr>
          <w:rFonts w:ascii="仿宋_GB2312" w:eastAsia="仿宋_GB2312" w:hAnsi="仿宋" w:hint="eastAsia"/>
          <w:color w:val="000000"/>
          <w:sz w:val="32"/>
          <w:szCs w:val="32"/>
        </w:rPr>
        <w:lastRenderedPageBreak/>
        <w:t>（四）研究竞赛活动的其他事项。</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第十二条</w:t>
      </w:r>
      <w:r>
        <w:rPr>
          <w:rFonts w:ascii="仿宋_GB2312" w:eastAsia="仿宋_GB2312" w:hAnsi="仿宋" w:hint="eastAsia"/>
          <w:color w:val="000000"/>
          <w:sz w:val="32"/>
          <w:szCs w:val="32"/>
        </w:rPr>
        <w:t xml:space="preserve"> 组委会下设办公室。办公室设在绿色与智能分会行业管理部，是组委会的日常办事机构，负责组织竞赛活动具体工作。</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第四章 竞赛活动办法</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 xml:space="preserve">第十三条 </w:t>
      </w:r>
      <w:r>
        <w:rPr>
          <w:rFonts w:ascii="仿宋_GB2312" w:eastAsia="仿宋_GB2312" w:hAnsi="仿宋" w:hint="eastAsia"/>
          <w:color w:val="000000"/>
          <w:sz w:val="32"/>
          <w:szCs w:val="32"/>
        </w:rPr>
        <w:t>根据竞赛活动的不同类型，采用不同的竞赛评分办法。</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第十四条</w:t>
      </w:r>
      <w:r>
        <w:rPr>
          <w:rFonts w:ascii="仿宋_GB2312" w:eastAsia="仿宋_GB2312" w:hAnsi="仿宋" w:hint="eastAsia"/>
          <w:color w:val="000000"/>
          <w:sz w:val="32"/>
          <w:szCs w:val="32"/>
        </w:rPr>
        <w:t xml:space="preserve"> 绿色设计竞赛活动，参照现行《绿色建筑评价标准》（GB/T 50378）执行。</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第十五条</w:t>
      </w:r>
      <w:r>
        <w:rPr>
          <w:rFonts w:ascii="仿宋_GB2312" w:eastAsia="仿宋_GB2312" w:hAnsi="仿宋" w:hint="eastAsia"/>
          <w:color w:val="000000"/>
          <w:sz w:val="32"/>
          <w:szCs w:val="32"/>
        </w:rPr>
        <w:t xml:space="preserve"> 绿色施工竞赛活动，参照现行《建筑工程绿色施工评价标准》（GB/T 50640）执行。</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第十六条</w:t>
      </w:r>
      <w:r>
        <w:rPr>
          <w:rFonts w:ascii="仿宋_GB2312" w:eastAsia="仿宋_GB2312" w:hAnsi="仿宋" w:hint="eastAsia"/>
          <w:color w:val="000000"/>
          <w:sz w:val="32"/>
          <w:szCs w:val="32"/>
        </w:rPr>
        <w:t xml:space="preserve"> 绿色建造竞赛活动评分办法如下：</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（一）包含工程立项绿色策划、绿色设计、绿色施工和绿色建造协同4项内容、其权重如表1所示，</w:t>
      </w:r>
    </w:p>
    <w:p w:rsidR="00E67B4E" w:rsidRDefault="00E67B4E">
      <w:pPr>
        <w:spacing w:line="580" w:lineRule="exact"/>
        <w:jc w:val="center"/>
        <w:rPr>
          <w:rFonts w:ascii="仿宋_GB2312" w:eastAsia="仿宋_GB2312" w:hAnsi="仿宋"/>
          <w:color w:val="000000"/>
          <w:sz w:val="32"/>
          <w:szCs w:val="32"/>
        </w:rPr>
      </w:pPr>
      <w:r>
        <w:rPr>
          <w:rFonts w:ascii="仿宋_GB2312" w:eastAsia="仿宋_GB2312" w:hAnsi="仿宋" w:hint="eastAsia"/>
          <w:color w:val="000000"/>
          <w:sz w:val="32"/>
          <w:szCs w:val="32"/>
        </w:rPr>
        <w:t>表1 绿色建造评价四部分权重表</w:t>
      </w:r>
    </w:p>
    <w:tbl>
      <w:tblPr>
        <w:tblpPr w:leftFromText="180" w:rightFromText="180" w:vertAnchor="text" w:horzAnchor="margin" w:tblpY="25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59"/>
        <w:gridCol w:w="1843"/>
        <w:gridCol w:w="1843"/>
        <w:gridCol w:w="1843"/>
        <w:gridCol w:w="2328"/>
      </w:tblGrid>
      <w:tr w:rsidR="00E67B4E">
        <w:tc>
          <w:tcPr>
            <w:tcW w:w="959"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名称</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绿色立项绿色策划</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绿色建造协同</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绿色设计</w:t>
            </w:r>
          </w:p>
        </w:tc>
        <w:tc>
          <w:tcPr>
            <w:tcW w:w="2328"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绿色施工</w:t>
            </w:r>
          </w:p>
        </w:tc>
      </w:tr>
      <w:tr w:rsidR="00E67B4E">
        <w:tc>
          <w:tcPr>
            <w:tcW w:w="959"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权重</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0.2</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0.2</w:t>
            </w:r>
          </w:p>
        </w:tc>
        <w:tc>
          <w:tcPr>
            <w:tcW w:w="1843"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0.3</w:t>
            </w:r>
          </w:p>
        </w:tc>
        <w:tc>
          <w:tcPr>
            <w:tcW w:w="2328" w:type="dxa"/>
          </w:tcPr>
          <w:p w:rsidR="00E67B4E" w:rsidRDefault="00E67B4E">
            <w:pPr>
              <w:spacing w:line="600" w:lineRule="exact"/>
              <w:rPr>
                <w:rFonts w:ascii="仿宋_GB2312" w:eastAsia="仿宋_GB2312" w:hAnsi="仿宋"/>
                <w:color w:val="000000"/>
                <w:sz w:val="24"/>
                <w:szCs w:val="24"/>
              </w:rPr>
            </w:pPr>
            <w:r>
              <w:rPr>
                <w:rFonts w:ascii="仿宋_GB2312" w:eastAsia="仿宋_GB2312" w:hAnsi="仿宋" w:hint="eastAsia"/>
                <w:color w:val="000000"/>
                <w:sz w:val="24"/>
                <w:szCs w:val="24"/>
              </w:rPr>
              <w:t>0.3</w:t>
            </w:r>
          </w:p>
        </w:tc>
      </w:tr>
    </w:tbl>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总分按照下式计算，满分100分：</w:t>
      </w:r>
    </w:p>
    <w:p w:rsidR="00E67B4E" w:rsidRDefault="00E67B4E">
      <w:pPr>
        <w:spacing w:line="600" w:lineRule="exact"/>
        <w:jc w:val="center"/>
        <w:rPr>
          <w:rFonts w:ascii="仿宋_GB2312" w:eastAsia="仿宋_GB2312" w:hAnsi="仿宋"/>
          <w:color w:val="000000"/>
          <w:sz w:val="32"/>
          <w:szCs w:val="32"/>
        </w:rPr>
      </w:pPr>
      <w:r>
        <w:rPr>
          <w:rFonts w:ascii="仿宋_GB2312" w:eastAsia="仿宋_GB2312" w:hAnsi="仿宋" w:hint="eastAsia"/>
          <w:color w:val="000000"/>
          <w:sz w:val="32"/>
          <w:szCs w:val="32"/>
        </w:rPr>
        <w:t>Q=0.2*Q1+0.2*Q2+0.3(Q3*100)/110+0.3(Q4*100)/M4</w:t>
      </w:r>
    </w:p>
    <w:p w:rsidR="00E67B4E" w:rsidRDefault="00E67B4E">
      <w:pPr>
        <w:spacing w:line="600" w:lineRule="exact"/>
        <w:rPr>
          <w:rFonts w:ascii="仿宋_GB2312" w:eastAsia="仿宋_GB2312" w:hAnsi="仿宋"/>
          <w:color w:val="000000"/>
          <w:sz w:val="32"/>
          <w:szCs w:val="32"/>
        </w:rPr>
      </w:pPr>
      <w:r>
        <w:rPr>
          <w:rFonts w:ascii="仿宋_GB2312" w:eastAsia="仿宋_GB2312" w:hAnsi="仿宋" w:hint="eastAsia"/>
          <w:color w:val="000000"/>
          <w:sz w:val="32"/>
          <w:szCs w:val="32"/>
        </w:rPr>
        <w:t>其中：Q-绿色建造竞赛活动总得分；</w:t>
      </w:r>
    </w:p>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Q1-依据表2计算的绿色立项策划得分；</w:t>
      </w:r>
    </w:p>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lastRenderedPageBreak/>
        <w:t>Q2-依据表3计算的绿色建造协同得分</w:t>
      </w:r>
    </w:p>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Q3-依据第十四条计算的绿色设计得分；</w:t>
      </w:r>
    </w:p>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Q4-依据第十五条计算的绿色施工得分；</w:t>
      </w:r>
    </w:p>
    <w:p w:rsidR="00E67B4E" w:rsidRDefault="00E67B4E">
      <w:pPr>
        <w:spacing w:line="600" w:lineRule="exact"/>
        <w:ind w:firstLineChars="200" w:firstLine="616"/>
        <w:rPr>
          <w:rFonts w:ascii="仿宋_GB2312" w:eastAsia="仿宋_GB2312" w:hAnsi="仿宋"/>
          <w:color w:val="000000"/>
          <w:spacing w:val="-6"/>
          <w:sz w:val="32"/>
          <w:szCs w:val="32"/>
        </w:rPr>
      </w:pPr>
      <w:r>
        <w:rPr>
          <w:rFonts w:ascii="仿宋_GB2312" w:eastAsia="仿宋_GB2312" w:hAnsi="仿宋" w:hint="eastAsia"/>
          <w:color w:val="000000"/>
          <w:spacing w:val="-6"/>
          <w:sz w:val="32"/>
          <w:szCs w:val="32"/>
        </w:rPr>
        <w:t>M4-现行《建筑工程绿色施工评价标准》（GB/T 50640）满分值。</w:t>
      </w:r>
    </w:p>
    <w:p w:rsidR="00E67B4E" w:rsidRDefault="00E67B4E">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（二）绿色立项策划满分100分按照表2计分：</w:t>
      </w:r>
    </w:p>
    <w:p w:rsidR="00E67B4E" w:rsidRDefault="00E67B4E">
      <w:pPr>
        <w:jc w:val="center"/>
        <w:rPr>
          <w:rFonts w:ascii="仿宋_GB2312" w:eastAsia="仿宋_GB2312" w:hAnsi="仿宋"/>
          <w:color w:val="000000"/>
          <w:sz w:val="32"/>
          <w:szCs w:val="32"/>
        </w:rPr>
      </w:pPr>
      <w:r>
        <w:rPr>
          <w:rFonts w:ascii="仿宋_GB2312" w:eastAsia="仿宋_GB2312" w:hAnsi="仿宋" w:hint="eastAsia"/>
          <w:color w:val="000000"/>
          <w:sz w:val="32"/>
          <w:szCs w:val="32"/>
        </w:rPr>
        <w:t>表2 绿色立项策划评分表</w:t>
      </w:r>
    </w:p>
    <w:tbl>
      <w:tblPr>
        <w:tblW w:w="90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666"/>
        <w:gridCol w:w="1108"/>
        <w:gridCol w:w="3590"/>
        <w:gridCol w:w="1134"/>
        <w:gridCol w:w="2584"/>
      </w:tblGrid>
      <w:tr w:rsidR="00E67B4E">
        <w:trPr>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序号</w:t>
            </w:r>
          </w:p>
        </w:tc>
        <w:tc>
          <w:tcPr>
            <w:tcW w:w="1108"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指标</w:t>
            </w:r>
          </w:p>
        </w:tc>
        <w:tc>
          <w:tcPr>
            <w:tcW w:w="3590"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评价内容</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满分</w:t>
            </w:r>
          </w:p>
        </w:tc>
        <w:tc>
          <w:tcPr>
            <w:tcW w:w="258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评价方法</w:t>
            </w:r>
          </w:p>
        </w:tc>
      </w:tr>
      <w:tr w:rsidR="00E67B4E">
        <w:trPr>
          <w:trHeight w:val="886"/>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w:t>
            </w:r>
          </w:p>
        </w:tc>
        <w:tc>
          <w:tcPr>
            <w:tcW w:w="1108" w:type="dxa"/>
            <w:vMerge w:val="restart"/>
            <w:vAlign w:val="center"/>
          </w:tcPr>
          <w:p w:rsidR="00E67B4E" w:rsidRDefault="00E67B4E">
            <w:pPr>
              <w:spacing w:line="240" w:lineRule="exact"/>
              <w:jc w:val="center"/>
              <w:rPr>
                <w:rFonts w:ascii="仿宋_GB2312" w:eastAsia="仿宋_GB2312" w:hAnsi="仿宋"/>
                <w:color w:val="000000"/>
                <w:sz w:val="24"/>
                <w:szCs w:val="24"/>
              </w:rPr>
            </w:pPr>
            <w:r>
              <w:rPr>
                <w:rFonts w:ascii="仿宋_GB2312" w:eastAsia="仿宋_GB2312" w:hAnsi="仿宋" w:hint="eastAsia"/>
                <w:color w:val="000000"/>
                <w:sz w:val="24"/>
                <w:szCs w:val="24"/>
              </w:rPr>
              <w:t>组织管理 30分</w:t>
            </w: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采用全过程工程咨询、工程总承包组织模式</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20分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查阅相关合同文本</w:t>
            </w:r>
          </w:p>
        </w:tc>
      </w:tr>
      <w:tr w:rsidR="00E67B4E">
        <w:trPr>
          <w:trHeight w:val="980"/>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2</w:t>
            </w:r>
          </w:p>
        </w:tc>
        <w:tc>
          <w:tcPr>
            <w:tcW w:w="1108" w:type="dxa"/>
            <w:vMerge/>
            <w:vAlign w:val="center"/>
          </w:tcPr>
          <w:p w:rsidR="00E67B4E" w:rsidRDefault="00E67B4E">
            <w:pPr>
              <w:spacing w:line="240" w:lineRule="exact"/>
              <w:jc w:val="center"/>
              <w:rPr>
                <w:rFonts w:ascii="仿宋_GB2312" w:eastAsia="仿宋_GB2312" w:hAnsi="仿宋"/>
                <w:color w:val="000000"/>
                <w:sz w:val="24"/>
                <w:szCs w:val="24"/>
              </w:rPr>
            </w:pP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将施工扬尘控制、建筑垃圾减量化目标和措施纳入招标文件和合同文本，措施费纳入工程概算</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查阅相关招标文件和合同文本</w:t>
            </w:r>
          </w:p>
        </w:tc>
      </w:tr>
      <w:tr w:rsidR="00E67B4E">
        <w:trPr>
          <w:trHeight w:val="842"/>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3</w:t>
            </w:r>
          </w:p>
        </w:tc>
        <w:tc>
          <w:tcPr>
            <w:tcW w:w="1108" w:type="dxa"/>
            <w:vMerge w:val="restart"/>
            <w:vAlign w:val="center"/>
          </w:tcPr>
          <w:p w:rsidR="00E67B4E" w:rsidRDefault="00E67B4E">
            <w:pPr>
              <w:spacing w:line="240" w:lineRule="exact"/>
              <w:jc w:val="center"/>
              <w:rPr>
                <w:rFonts w:ascii="仿宋_GB2312" w:eastAsia="仿宋_GB2312" w:hAnsi="仿宋"/>
                <w:color w:val="000000"/>
                <w:sz w:val="24"/>
                <w:szCs w:val="24"/>
              </w:rPr>
            </w:pPr>
            <w:r>
              <w:rPr>
                <w:rFonts w:ascii="仿宋_GB2312" w:eastAsia="仿宋_GB2312" w:hAnsi="仿宋" w:hint="eastAsia"/>
                <w:color w:val="000000"/>
                <w:sz w:val="24"/>
                <w:szCs w:val="24"/>
              </w:rPr>
              <w:t>立项文件 30分</w:t>
            </w: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项目建议书、可行性研究报告等应综合考虑工程绿色要素</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20分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查阅项目建议书、可行性研究报告</w:t>
            </w:r>
          </w:p>
        </w:tc>
      </w:tr>
      <w:tr w:rsidR="00E67B4E">
        <w:trPr>
          <w:trHeight w:val="1118"/>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4</w:t>
            </w:r>
          </w:p>
        </w:tc>
        <w:tc>
          <w:tcPr>
            <w:tcW w:w="1108" w:type="dxa"/>
            <w:vMerge/>
            <w:vAlign w:val="center"/>
          </w:tcPr>
          <w:p w:rsidR="00E67B4E" w:rsidRDefault="00E67B4E">
            <w:pPr>
              <w:spacing w:line="240" w:lineRule="exact"/>
              <w:jc w:val="center"/>
              <w:rPr>
                <w:rFonts w:ascii="仿宋_GB2312" w:eastAsia="仿宋_GB2312" w:hAnsi="仿宋"/>
                <w:color w:val="000000"/>
                <w:sz w:val="24"/>
                <w:szCs w:val="24"/>
              </w:rPr>
            </w:pP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项目设计任务书应包括绿色建造前期策划的成果，包括但不限于绿色建造目标，拟采用的绿色建筑技术等</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查阅设计任务书</w:t>
            </w:r>
          </w:p>
        </w:tc>
      </w:tr>
      <w:tr w:rsidR="00E67B4E">
        <w:trPr>
          <w:trHeight w:val="1417"/>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5</w:t>
            </w:r>
          </w:p>
        </w:tc>
        <w:tc>
          <w:tcPr>
            <w:tcW w:w="1108" w:type="dxa"/>
            <w:vMerge w:val="restart"/>
            <w:vAlign w:val="center"/>
          </w:tcPr>
          <w:p w:rsidR="00E67B4E" w:rsidRDefault="00E67B4E">
            <w:pPr>
              <w:spacing w:line="240" w:lineRule="exact"/>
              <w:jc w:val="center"/>
              <w:rPr>
                <w:rFonts w:ascii="仿宋_GB2312" w:eastAsia="仿宋_GB2312" w:hAnsi="仿宋"/>
                <w:color w:val="000000"/>
                <w:sz w:val="24"/>
                <w:szCs w:val="24"/>
              </w:rPr>
            </w:pPr>
            <w:r>
              <w:rPr>
                <w:rFonts w:ascii="仿宋_GB2312" w:eastAsia="仿宋_GB2312" w:hAnsi="仿宋" w:hint="eastAsia"/>
                <w:color w:val="000000"/>
                <w:sz w:val="24"/>
                <w:szCs w:val="24"/>
              </w:rPr>
              <w:t>技术适宜 40分</w:t>
            </w: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编制绿色建造策划方案，从资源节约、环境保护、人文关怀、社会经济效益、适宜技术等方面，明确项目定位设计、施工等阶段的主要控制指标</w:t>
            </w:r>
          </w:p>
        </w:tc>
        <w:tc>
          <w:tcPr>
            <w:tcW w:w="1134"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20分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查阅绿色建造策划方案</w:t>
            </w:r>
          </w:p>
        </w:tc>
      </w:tr>
      <w:tr w:rsidR="00E67B4E">
        <w:trPr>
          <w:trHeight w:val="1267"/>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6</w:t>
            </w:r>
          </w:p>
        </w:tc>
        <w:tc>
          <w:tcPr>
            <w:tcW w:w="1108" w:type="dxa"/>
            <w:vMerge/>
            <w:vAlign w:val="center"/>
          </w:tcPr>
          <w:p w:rsidR="00E67B4E" w:rsidRDefault="00E67B4E">
            <w:pPr>
              <w:rPr>
                <w:rFonts w:ascii="仿宋_GB2312" w:eastAsia="仿宋_GB2312" w:hAnsi="仿宋"/>
                <w:color w:val="000000"/>
                <w:sz w:val="24"/>
                <w:szCs w:val="24"/>
              </w:rPr>
            </w:pP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应遵循因地制宜的原则，根据项目条件进行技术适宜性分析，进而确定绿色建造目标，不盲目提高或降低绿色目标</w:t>
            </w:r>
          </w:p>
        </w:tc>
        <w:tc>
          <w:tcPr>
            <w:tcW w:w="113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查阅绿色建造技术适宜性分析报告</w:t>
            </w:r>
          </w:p>
        </w:tc>
      </w:tr>
      <w:tr w:rsidR="00E67B4E">
        <w:trPr>
          <w:trHeight w:val="688"/>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7</w:t>
            </w:r>
          </w:p>
        </w:tc>
        <w:tc>
          <w:tcPr>
            <w:tcW w:w="1108" w:type="dxa"/>
            <w:vMerge/>
            <w:vAlign w:val="center"/>
          </w:tcPr>
          <w:p w:rsidR="00E67B4E" w:rsidRDefault="00E67B4E">
            <w:pPr>
              <w:rPr>
                <w:rFonts w:ascii="仿宋_GB2312" w:eastAsia="仿宋_GB2312" w:hAnsi="仿宋"/>
                <w:color w:val="000000"/>
                <w:sz w:val="24"/>
                <w:szCs w:val="24"/>
              </w:rPr>
            </w:pP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采用装配式建筑技术、钢结构建筑技术，装配率不低于50%</w:t>
            </w:r>
          </w:p>
        </w:tc>
        <w:tc>
          <w:tcPr>
            <w:tcW w:w="113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5分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查阅概念设计方案</w:t>
            </w:r>
          </w:p>
        </w:tc>
      </w:tr>
      <w:tr w:rsidR="00E67B4E">
        <w:trPr>
          <w:trHeight w:val="699"/>
          <w:jc w:val="center"/>
        </w:trPr>
        <w:tc>
          <w:tcPr>
            <w:tcW w:w="666" w:type="dxa"/>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8</w:t>
            </w:r>
          </w:p>
        </w:tc>
        <w:tc>
          <w:tcPr>
            <w:tcW w:w="1108" w:type="dxa"/>
            <w:vMerge/>
            <w:vAlign w:val="center"/>
          </w:tcPr>
          <w:p w:rsidR="00E67B4E" w:rsidRDefault="00E67B4E">
            <w:pPr>
              <w:rPr>
                <w:rFonts w:ascii="仿宋_GB2312" w:eastAsia="仿宋_GB2312" w:hAnsi="仿宋"/>
                <w:color w:val="000000"/>
                <w:sz w:val="24"/>
                <w:szCs w:val="24"/>
              </w:rPr>
            </w:pPr>
          </w:p>
        </w:tc>
        <w:tc>
          <w:tcPr>
            <w:tcW w:w="3590"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采用智能化等新技术，有具体节能措施，提高节能效果</w:t>
            </w:r>
          </w:p>
        </w:tc>
        <w:tc>
          <w:tcPr>
            <w:tcW w:w="113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5分</w:t>
            </w:r>
          </w:p>
        </w:tc>
        <w:tc>
          <w:tcPr>
            <w:tcW w:w="2584" w:type="dxa"/>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查阅概念设计方案</w:t>
            </w:r>
          </w:p>
        </w:tc>
      </w:tr>
    </w:tbl>
    <w:p w:rsidR="00E67B4E" w:rsidRDefault="00E67B4E">
      <w:pPr>
        <w:ind w:firstLineChars="200" w:firstLine="640"/>
        <w:rPr>
          <w:rFonts w:ascii="仿宋_GB2312" w:eastAsia="仿宋_GB2312" w:hAnsi="仿宋"/>
          <w:color w:val="000000"/>
          <w:sz w:val="32"/>
          <w:szCs w:val="32"/>
        </w:rPr>
      </w:pPr>
    </w:p>
    <w:p w:rsidR="00E67B4E" w:rsidRDefault="00E67B4E">
      <w:pPr>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（三）绿色建造协同满分100分，按照表3评价：</w:t>
      </w:r>
    </w:p>
    <w:p w:rsidR="00E67B4E" w:rsidRDefault="00E67B4E">
      <w:pPr>
        <w:jc w:val="center"/>
        <w:rPr>
          <w:rFonts w:ascii="仿宋_GB2312" w:eastAsia="仿宋_GB2312" w:hAnsi="仿宋"/>
          <w:color w:val="000000"/>
          <w:sz w:val="32"/>
          <w:szCs w:val="32"/>
        </w:rPr>
      </w:pPr>
      <w:r>
        <w:rPr>
          <w:rFonts w:ascii="仿宋_GB2312" w:eastAsia="仿宋_GB2312" w:hAnsi="仿宋" w:hint="eastAsia"/>
          <w:color w:val="000000"/>
          <w:sz w:val="32"/>
          <w:szCs w:val="32"/>
        </w:rPr>
        <w:t>表3绿色建造协同评分表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48"/>
        <w:gridCol w:w="881"/>
        <w:gridCol w:w="4357"/>
        <w:gridCol w:w="581"/>
        <w:gridCol w:w="2693"/>
      </w:tblGrid>
      <w:tr w:rsidR="00E67B4E">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序号</w:t>
            </w:r>
          </w:p>
        </w:tc>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指标</w:t>
            </w:r>
          </w:p>
        </w:tc>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评价内容</w:t>
            </w:r>
          </w:p>
        </w:tc>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满分</w:t>
            </w:r>
          </w:p>
        </w:tc>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评价方法</w:t>
            </w:r>
          </w:p>
        </w:tc>
      </w:tr>
      <w:tr w:rsidR="00E67B4E">
        <w:trPr>
          <w:trHeight w:val="1587"/>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1</w:t>
            </w:r>
          </w:p>
        </w:tc>
        <w:tc>
          <w:tcPr>
            <w:tcW w:w="0" w:type="auto"/>
            <w:vMerge w:val="restart"/>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组织协同 30分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应成立绿色建造管理团队，成员包括投资、咨询、设计、施工等项目参与方。建立涵盖设计、施工等不同阶段的项目工作协同机制</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15分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查阅绿色建造管理组织构架和工作机制文件</w:t>
            </w:r>
          </w:p>
        </w:tc>
      </w:tr>
      <w:tr w:rsidR="00E67B4E">
        <w:trPr>
          <w:trHeight w:val="1116"/>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2</w:t>
            </w:r>
          </w:p>
        </w:tc>
        <w:tc>
          <w:tcPr>
            <w:tcW w:w="0" w:type="auto"/>
            <w:vMerge/>
            <w:vAlign w:val="center"/>
          </w:tcPr>
          <w:p w:rsidR="00E67B4E" w:rsidRDefault="00E67B4E">
            <w:pPr>
              <w:spacing w:line="240" w:lineRule="exact"/>
              <w:rPr>
                <w:rFonts w:ascii="仿宋_GB2312" w:eastAsia="仿宋_GB2312" w:hAnsi="仿宋"/>
                <w:color w:val="000000"/>
                <w:sz w:val="24"/>
                <w:szCs w:val="24"/>
              </w:rPr>
            </w:pP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设计团队采用建筑师负责制，各专业协同，定期召开协同会议，全过程工程咨询人员、施工人员现场联系</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15分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查阅设计团队专业设计协同会议纪要，查看咨询人员、施工人员参会情况</w:t>
            </w:r>
          </w:p>
        </w:tc>
      </w:tr>
      <w:tr w:rsidR="00E67B4E">
        <w:trPr>
          <w:trHeight w:val="976"/>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3</w:t>
            </w:r>
          </w:p>
        </w:tc>
        <w:tc>
          <w:tcPr>
            <w:tcW w:w="0" w:type="auto"/>
            <w:vMerge w:val="restart"/>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管理协同 30分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管理团队对建造全过程进行整体统筹的相关管理制度</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查阅相关管理制度</w:t>
            </w:r>
          </w:p>
        </w:tc>
      </w:tr>
      <w:tr w:rsidR="00E67B4E">
        <w:trPr>
          <w:trHeight w:val="1131"/>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4</w:t>
            </w:r>
          </w:p>
        </w:tc>
        <w:tc>
          <w:tcPr>
            <w:tcW w:w="0" w:type="auto"/>
            <w:vMerge/>
            <w:vAlign w:val="center"/>
          </w:tcPr>
          <w:p w:rsidR="00E67B4E" w:rsidRDefault="00E67B4E">
            <w:pPr>
              <w:spacing w:line="240" w:lineRule="exact"/>
              <w:rPr>
                <w:rFonts w:ascii="仿宋_GB2312" w:eastAsia="仿宋_GB2312" w:hAnsi="仿宋"/>
                <w:color w:val="000000"/>
                <w:sz w:val="24"/>
                <w:szCs w:val="24"/>
              </w:rPr>
            </w:pP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统筹建造全过程的信息管理，支撑各阶段多参与方之间的数据交换和信息共享</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查看全过程信息共享实施情况，需要时实地查看信息共享平台运维情况</w:t>
            </w:r>
          </w:p>
        </w:tc>
      </w:tr>
      <w:tr w:rsidR="00E67B4E">
        <w:trPr>
          <w:trHeight w:val="991"/>
        </w:trPr>
        <w:tc>
          <w:tcPr>
            <w:tcW w:w="0" w:type="auto"/>
            <w:vAlign w:val="center"/>
          </w:tcPr>
          <w:p w:rsidR="00E67B4E" w:rsidRDefault="00E67B4E">
            <w:pPr>
              <w:rPr>
                <w:rFonts w:ascii="仿宋_GB2312" w:eastAsia="仿宋_GB2312" w:hAnsi="仿宋"/>
                <w:color w:val="000000"/>
                <w:sz w:val="26"/>
                <w:szCs w:val="26"/>
              </w:rPr>
            </w:pPr>
          </w:p>
        </w:tc>
        <w:tc>
          <w:tcPr>
            <w:tcW w:w="0" w:type="auto"/>
            <w:vMerge/>
            <w:vAlign w:val="center"/>
          </w:tcPr>
          <w:p w:rsidR="00E67B4E" w:rsidRDefault="00E67B4E">
            <w:pPr>
              <w:spacing w:line="240" w:lineRule="exact"/>
              <w:rPr>
                <w:rFonts w:ascii="仿宋_GB2312" w:eastAsia="仿宋_GB2312" w:hAnsi="仿宋"/>
                <w:color w:val="000000"/>
                <w:sz w:val="24"/>
                <w:szCs w:val="24"/>
              </w:rPr>
            </w:pP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编制智慧工地管理策划方案，对工地建设进行全过程智慧化管理</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查看技术方案和实地查看工地现场</w:t>
            </w:r>
          </w:p>
        </w:tc>
      </w:tr>
      <w:tr w:rsidR="00E67B4E">
        <w:trPr>
          <w:trHeight w:val="837"/>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5</w:t>
            </w:r>
          </w:p>
        </w:tc>
        <w:tc>
          <w:tcPr>
            <w:tcW w:w="0" w:type="auto"/>
            <w:vMerge w:val="restart"/>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技术协同 40分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立项策划阶段咨询单位的参与，对绿色设计、绿色施工咨询服务</w:t>
            </w:r>
          </w:p>
        </w:tc>
        <w:tc>
          <w:tcPr>
            <w:tcW w:w="0" w:type="auto"/>
            <w:vAlign w:val="center"/>
          </w:tcPr>
          <w:p w:rsidR="00E67B4E" w:rsidRDefault="00E67B4E">
            <w:pPr>
              <w:rPr>
                <w:rFonts w:ascii="仿宋_GB2312" w:eastAsia="仿宋_GB2312" w:hAnsi="仿宋"/>
                <w:color w:val="000000"/>
                <w:sz w:val="24"/>
                <w:szCs w:val="24"/>
              </w:rPr>
            </w:pPr>
            <w:r>
              <w:rPr>
                <w:rFonts w:ascii="仿宋_GB2312" w:eastAsia="仿宋_GB2312" w:hAnsi="仿宋" w:hint="eastAsia"/>
                <w:color w:val="000000"/>
                <w:sz w:val="24"/>
                <w:szCs w:val="24"/>
              </w:rPr>
              <w:t>20分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查看立项阶段有关咨询报告</w:t>
            </w:r>
          </w:p>
        </w:tc>
      </w:tr>
      <w:tr w:rsidR="00E67B4E">
        <w:trPr>
          <w:trHeight w:val="834"/>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6</w:t>
            </w:r>
          </w:p>
        </w:tc>
        <w:tc>
          <w:tcPr>
            <w:tcW w:w="0" w:type="auto"/>
            <w:vMerge/>
            <w:vAlign w:val="center"/>
          </w:tcPr>
          <w:p w:rsidR="00E67B4E" w:rsidRDefault="00E67B4E">
            <w:pPr>
              <w:rPr>
                <w:rFonts w:ascii="仿宋_GB2312" w:eastAsia="仿宋_GB2312" w:hAnsi="仿宋"/>
                <w:color w:val="000000"/>
                <w:sz w:val="24"/>
                <w:szCs w:val="24"/>
              </w:rPr>
            </w:pP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设计阶段有施工组织专家参与，进行设计可施工性的论证</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查阅有关设计可施工性的论证会会议纪要</w:t>
            </w:r>
          </w:p>
        </w:tc>
      </w:tr>
      <w:tr w:rsidR="00E67B4E">
        <w:trPr>
          <w:trHeight w:val="846"/>
        </w:trPr>
        <w:tc>
          <w:tcPr>
            <w:tcW w:w="0" w:type="auto"/>
            <w:vAlign w:val="center"/>
          </w:tcPr>
          <w:p w:rsidR="00E67B4E" w:rsidRDefault="00E67B4E">
            <w:pPr>
              <w:rPr>
                <w:rFonts w:ascii="仿宋_GB2312" w:eastAsia="仿宋_GB2312" w:hAnsi="仿宋"/>
                <w:color w:val="000000"/>
                <w:sz w:val="26"/>
                <w:szCs w:val="26"/>
              </w:rPr>
            </w:pPr>
            <w:r>
              <w:rPr>
                <w:rFonts w:ascii="仿宋_GB2312" w:eastAsia="仿宋_GB2312" w:hAnsi="仿宋" w:hint="eastAsia"/>
                <w:color w:val="000000"/>
                <w:sz w:val="26"/>
                <w:szCs w:val="26"/>
              </w:rPr>
              <w:t>7</w:t>
            </w:r>
          </w:p>
        </w:tc>
        <w:tc>
          <w:tcPr>
            <w:tcW w:w="0" w:type="auto"/>
            <w:vMerge/>
            <w:vAlign w:val="center"/>
          </w:tcPr>
          <w:p w:rsidR="00E67B4E" w:rsidRDefault="00E67B4E">
            <w:pPr>
              <w:rPr>
                <w:rFonts w:ascii="仿宋_GB2312" w:eastAsia="仿宋_GB2312" w:hAnsi="仿宋"/>
                <w:color w:val="000000"/>
                <w:sz w:val="24"/>
                <w:szCs w:val="24"/>
              </w:rPr>
            </w:pP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施工阶段与设计人员紧密沟通，开展深化设计与效益优化</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10分</w:t>
            </w:r>
          </w:p>
        </w:tc>
        <w:tc>
          <w:tcPr>
            <w:tcW w:w="0" w:type="auto"/>
            <w:vAlign w:val="center"/>
          </w:tcPr>
          <w:p w:rsidR="00E67B4E" w:rsidRDefault="00E67B4E">
            <w:pPr>
              <w:spacing w:line="240" w:lineRule="exact"/>
              <w:rPr>
                <w:rFonts w:ascii="仿宋_GB2312" w:eastAsia="仿宋_GB2312" w:hAnsi="仿宋"/>
                <w:color w:val="000000"/>
                <w:sz w:val="24"/>
                <w:szCs w:val="24"/>
              </w:rPr>
            </w:pPr>
            <w:r>
              <w:rPr>
                <w:rFonts w:ascii="仿宋_GB2312" w:eastAsia="仿宋_GB2312" w:hAnsi="仿宋" w:hint="eastAsia"/>
                <w:color w:val="000000"/>
                <w:sz w:val="24"/>
                <w:szCs w:val="24"/>
              </w:rPr>
              <w:t>查看深化设计与优化设计文件，及其实施效果</w:t>
            </w:r>
          </w:p>
        </w:tc>
      </w:tr>
    </w:tbl>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 xml:space="preserve">第十七条 </w:t>
      </w:r>
      <w:r>
        <w:rPr>
          <w:rFonts w:ascii="仿宋_GB2312" w:eastAsia="仿宋_GB2312" w:hAnsi="仿宋" w:hint="eastAsia"/>
          <w:color w:val="000000"/>
          <w:sz w:val="32"/>
          <w:szCs w:val="32"/>
        </w:rPr>
        <w:t>竞赛活动成果等级分为一等成果、二等成果和三</w:t>
      </w:r>
      <w:r>
        <w:rPr>
          <w:rFonts w:ascii="仿宋_GB2312" w:eastAsia="仿宋_GB2312" w:hAnsi="仿宋" w:hint="eastAsia"/>
          <w:color w:val="000000"/>
          <w:sz w:val="32"/>
          <w:szCs w:val="32"/>
        </w:rPr>
        <w:lastRenderedPageBreak/>
        <w:t>等成果。按照竞赛活动类型不同规定如下：</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（一）绿色设计竞赛活动对应第十四条，获得三等成果、二等成果和一等成果的基本要求是分别满足一星（60-69分）、二星（70-84分）和三星（85分及以上）的相关条件。</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（二）绿色施工竞赛活动对应第十五条，获得三等成果、二等成果和一等成果的基本要求是分别达到验收合格（60-69分）、良好（70-84分）和优秀（85分及以上）的相关条件。</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（三）绿色建造竞赛活动获得三等成果、二等成果和一等成果的基本要求是分别获得总分60-69分、总分70-79分和总分80分及以上的相关条件。</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第十八条</w:t>
      </w:r>
      <w:r>
        <w:rPr>
          <w:rFonts w:ascii="仿宋_GB2312" w:eastAsia="仿宋_GB2312" w:hAnsi="仿宋" w:hint="eastAsia"/>
          <w:color w:val="000000"/>
          <w:sz w:val="32"/>
          <w:szCs w:val="32"/>
        </w:rPr>
        <w:t xml:space="preserve"> 原则上参加竞赛活动的项目一等成果比例不大于15%，二等成果比例不大于25%，三等成果比例不大于50%。</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第五章 竞赛实施安排</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第十九条</w:t>
      </w:r>
      <w:r>
        <w:rPr>
          <w:rFonts w:ascii="仿宋_GB2312" w:eastAsia="仿宋_GB2312" w:hAnsi="仿宋" w:hint="eastAsia"/>
          <w:color w:val="000000"/>
          <w:sz w:val="32"/>
          <w:szCs w:val="32"/>
        </w:rPr>
        <w:t xml:space="preserve"> 竞赛活动自愿参加，申报企业应具有独立法人资格，并具有相应的资质证书。</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第二十条</w:t>
      </w:r>
      <w:r>
        <w:rPr>
          <w:rFonts w:ascii="仿宋_GB2312" w:eastAsia="仿宋_GB2312" w:hAnsi="仿宋" w:hint="eastAsia"/>
          <w:color w:val="000000"/>
          <w:sz w:val="32"/>
          <w:szCs w:val="32"/>
        </w:rPr>
        <w:t xml:space="preserve"> 申报绿色建造类成果必须同时具备绿色设计和绿色施工的成果要求；绿色设计成果和绿色施工成果也可单独分别申报。</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 xml:space="preserve">第二十一条 </w:t>
      </w:r>
      <w:r>
        <w:rPr>
          <w:rFonts w:ascii="仿宋_GB2312" w:eastAsia="仿宋_GB2312" w:hAnsi="仿宋" w:hint="eastAsia"/>
          <w:color w:val="000000"/>
          <w:sz w:val="32"/>
          <w:szCs w:val="32"/>
        </w:rPr>
        <w:t>参赛的建设工程项目应符合下列条件：</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（一）工程建设手续齐全，程序合法合规。竞赛活动得到工程各相关方的支持与配合；</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（二）房屋建筑类工程建筑面积在</w:t>
      </w:r>
      <w:smartTag w:uri="urn:schemas-microsoft-com:office:smarttags" w:element="chmetcnv">
        <w:smartTagPr>
          <w:attr w:name="UnitName" w:val="平方米"/>
          <w:attr w:name="SourceValue" w:val="30000"/>
          <w:attr w:name="HasSpace" w:val="False"/>
          <w:attr w:name="Negative" w:val="False"/>
          <w:attr w:name="NumberType" w:val="1"/>
          <w:attr w:name="TCSC" w:val="1"/>
        </w:smartTagPr>
        <w:r>
          <w:rPr>
            <w:rFonts w:ascii="仿宋_GB2312" w:eastAsia="仿宋_GB2312" w:hAnsi="仿宋" w:hint="eastAsia"/>
            <w:color w:val="000000"/>
            <w:sz w:val="32"/>
            <w:szCs w:val="32"/>
          </w:rPr>
          <w:t>3万平方米</w:t>
        </w:r>
      </w:smartTag>
      <w:r>
        <w:rPr>
          <w:rFonts w:ascii="仿宋_GB2312" w:eastAsia="仿宋_GB2312" w:hAnsi="仿宋" w:hint="eastAsia"/>
          <w:color w:val="000000"/>
          <w:sz w:val="32"/>
          <w:szCs w:val="32"/>
        </w:rPr>
        <w:t>以上，市政基础设施及其他工程造价在1亿元人民币以上,偏远地区可适当</w:t>
      </w:r>
      <w:r>
        <w:rPr>
          <w:rFonts w:ascii="仿宋_GB2312" w:eastAsia="仿宋_GB2312" w:hAnsi="仿宋" w:hint="eastAsia"/>
          <w:color w:val="000000"/>
          <w:sz w:val="32"/>
          <w:szCs w:val="32"/>
        </w:rPr>
        <w:lastRenderedPageBreak/>
        <w:t>放宽；</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（三）能够结合工程亮点、地域性、项目功能特点，组织绿色建造技术研发和管理创新。</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 xml:space="preserve">第二十二条 </w:t>
      </w:r>
      <w:r>
        <w:rPr>
          <w:rFonts w:ascii="仿宋_GB2312" w:eastAsia="仿宋_GB2312" w:hAnsi="仿宋" w:hint="eastAsia"/>
          <w:color w:val="000000"/>
          <w:sz w:val="32"/>
          <w:szCs w:val="32"/>
        </w:rPr>
        <w:t>竞赛活动分工安排如下：</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（一）竞赛分为初赛、过程检查和决赛三个阶段。</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 各省（自治区、直辖市）建筑业协会（联合会、施工行业协会）、有关行业建设协会、国务院国资委管理的建筑企业集团（上述三类单位以下简称为初赛组织单位）负责本区域、本行业、本系统内竞赛活动的初赛，包括：申报受理、过程检查、初赛评审、成果上报以及成果的推广应用。</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（三）中建协绿色与智能分会负责全国竞赛活动的推荐受理、过程抽查、决赛、竞赛成果发布以及在全国范围内的推广应用。</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 xml:space="preserve">第二十三条 </w:t>
      </w:r>
      <w:r>
        <w:rPr>
          <w:rFonts w:ascii="仿宋_GB2312" w:eastAsia="仿宋_GB2312" w:hAnsi="仿宋" w:hint="eastAsia"/>
          <w:color w:val="000000"/>
          <w:sz w:val="32"/>
          <w:szCs w:val="32"/>
        </w:rPr>
        <w:t>竞赛活动按照以下程序进行：</w:t>
      </w:r>
    </w:p>
    <w:p w:rsidR="00E67B4E" w:rsidRDefault="00E67B4E">
      <w:pPr>
        <w:pStyle w:val="aa"/>
        <w:shd w:val="clear" w:color="auto" w:fill="FFFFFF"/>
        <w:spacing w:before="0" w:beforeAutospacing="0" w:after="0" w:afterAutospacing="0" w:line="580" w:lineRule="exact"/>
        <w:ind w:firstLineChars="200" w:firstLine="640"/>
        <w:jc w:val="both"/>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（一）申报企业按照要求填报《建设工程项目绿色建造竞赛活动申报表》，并将其纸质版及电子版报送初赛组织单位。</w:t>
      </w:r>
    </w:p>
    <w:p w:rsidR="00E67B4E" w:rsidRDefault="00E67B4E">
      <w:pPr>
        <w:pStyle w:val="aa"/>
        <w:shd w:val="clear" w:color="auto" w:fill="FFFFFF"/>
        <w:spacing w:before="0" w:beforeAutospacing="0" w:after="0" w:afterAutospacing="0" w:line="580" w:lineRule="exact"/>
        <w:ind w:firstLineChars="200" w:firstLine="640"/>
        <w:jc w:val="both"/>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二）初赛组织单位对申报企业提交的申报资料的真实性和完整性进行初步审核后组织专家评审并签署意见后，将推荐参加竞赛活动的项目汇总表以及《建设工程项目绿色建造竞赛活动申报表》报送组委会办公室。</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（三）组委会办公室进行工程规模等资料审核，符合要求后，由组委会最终确定参加竞赛活动的工程项目，并在中建协官网上公布参赛项目名单。</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lastRenderedPageBreak/>
        <w:t>（四）初赛组织单位应组织专家对参加竞赛活动的项目开展过程检查，进行竞赛活动评估，填写过程检查意见书及实施情况报告，并提交竞赛组委会办公室，作为组委会办公室组织专家抽查和评估的依据。</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（五）项目完成后申报企业向初赛组织单位报送初赛活动成果评审材料。</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（六）初赛组织单位组织专家进行初赛评分，一等成果不超过20%，二等成果不超过30%，其他为三等成果。并将项目初赛成果汇总表及项目成果评审材料提交组委会办公室。</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（七）组委会办公室组织专家对初赛项目成果材料评审，按照本办法第十八条规定的成果等级比例，确定一、二、三等成果。</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（八）组委会将竞赛结果上报中建协并在中建协官网公示，公示期为7 天。</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仿宋_GB2312" w:eastAsia="仿宋_GB2312" w:hAnsi="仿宋" w:cs="Times New Roman" w:hint="eastAsia"/>
          <w:color w:val="000000"/>
          <w:kern w:val="2"/>
          <w:sz w:val="32"/>
          <w:szCs w:val="32"/>
        </w:rPr>
        <w:t>（九）公示期满后，由中建协颁发相关证书。</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第二十四条 </w:t>
      </w:r>
      <w:r>
        <w:rPr>
          <w:rFonts w:ascii="仿宋_GB2312" w:eastAsia="仿宋_GB2312" w:hAnsi="仿宋" w:hint="eastAsia"/>
          <w:color w:val="000000"/>
          <w:sz w:val="32"/>
          <w:szCs w:val="32"/>
        </w:rPr>
        <w:t>竞赛成果评审应提供以下资料（书面资料与电子版各一份）：</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（一）初赛组织单位组织专家对竞赛活动项目初赛成果汇总表；</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（二）竞赛活动项目过程检查意见书及相关结论性材料；</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（三）竞赛活动项目综合总结报告；</w:t>
      </w:r>
    </w:p>
    <w:p w:rsidR="00E67B4E" w:rsidRDefault="00E67B4E">
      <w:pPr>
        <w:spacing w:line="58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（四）成果有关的佐证材料，如第三方出示的绿色建筑预评价结果或认证文件及其得分，根据相关评价标准由第三方出示的绿色施工、绿色建造评价结果，以及其他有必要提供的材料。</w:t>
      </w:r>
    </w:p>
    <w:p w:rsidR="00E67B4E" w:rsidRDefault="00E67B4E">
      <w:pPr>
        <w:pStyle w:val="aa"/>
        <w:shd w:val="clear" w:color="auto" w:fill="FFFFFF"/>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Pr>
          <w:rFonts w:ascii="黑体" w:eastAsia="黑体" w:hAnsi="黑体" w:cs="黑体" w:hint="eastAsia"/>
          <w:bCs/>
          <w:color w:val="000000"/>
          <w:kern w:val="2"/>
          <w:sz w:val="32"/>
          <w:szCs w:val="32"/>
        </w:rPr>
        <w:lastRenderedPageBreak/>
        <w:t>第二十五条</w:t>
      </w:r>
      <w:r>
        <w:rPr>
          <w:rFonts w:ascii="仿宋_GB2312" w:eastAsia="仿宋_GB2312" w:hAnsi="Calibri" w:cs="Calibri" w:hint="eastAsia"/>
          <w:color w:val="000000"/>
          <w:kern w:val="2"/>
          <w:sz w:val="32"/>
          <w:szCs w:val="32"/>
        </w:rPr>
        <w:t> </w:t>
      </w:r>
      <w:r>
        <w:rPr>
          <w:rFonts w:ascii="仿宋_GB2312" w:eastAsia="仿宋_GB2312" w:hAnsi="仿宋" w:cs="Times New Roman" w:hint="eastAsia"/>
          <w:color w:val="000000"/>
          <w:kern w:val="2"/>
          <w:sz w:val="32"/>
          <w:szCs w:val="32"/>
        </w:rPr>
        <w:t>申报企业对提交材料的真实性、有效性负责，并应接受必要的抽查和验证工作。</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第二十六条</w:t>
      </w:r>
      <w:r>
        <w:rPr>
          <w:rFonts w:ascii="仿宋_GB2312" w:eastAsia="仿宋_GB2312" w:hAnsi="仿宋" w:hint="eastAsia"/>
          <w:color w:val="000000"/>
          <w:sz w:val="32"/>
          <w:szCs w:val="32"/>
        </w:rPr>
        <w:t xml:space="preserve"> 竞赛活动每年举办一次，为保证竞赛质量，每次受理推荐的参加决赛活动工程项目数量不超过150项，推荐单位的决赛推荐名额在每年的竞赛活动通知中规定。</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第六章 过程检查</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第二十七条</w:t>
      </w:r>
      <w:r>
        <w:rPr>
          <w:rFonts w:ascii="仿宋_GB2312" w:eastAsia="仿宋_GB2312" w:hAnsi="仿宋" w:hint="eastAsia"/>
          <w:color w:val="000000"/>
          <w:sz w:val="32"/>
          <w:szCs w:val="32"/>
        </w:rPr>
        <w:t xml:space="preserve"> 初赛组织单位以及组委会办公室应该组织专家对参加竞赛活动的项目进行过程检查和评审。</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第二十八条</w:t>
      </w:r>
      <w:r>
        <w:rPr>
          <w:rFonts w:ascii="仿宋_GB2312" w:eastAsia="仿宋_GB2312" w:hAnsi="仿宋" w:hint="eastAsia"/>
          <w:color w:val="000000"/>
          <w:sz w:val="32"/>
          <w:szCs w:val="32"/>
        </w:rPr>
        <w:t xml:space="preserve"> 初赛组织单位以及组委会办公室对竞赛活动的过程检查完成后，应该有书面的检查结果意见书，针对已经开展的活动，给出评价意见与改进建议，使竞赛活动更好地开展，过程检查和评审主要依据第十四条、第十五条及第十六条的有关要求进行。</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第二十九条</w:t>
      </w:r>
      <w:r>
        <w:rPr>
          <w:rFonts w:ascii="仿宋_GB2312" w:eastAsia="仿宋_GB2312" w:hAnsi="仿宋" w:hint="eastAsia"/>
          <w:color w:val="000000"/>
          <w:sz w:val="32"/>
          <w:szCs w:val="32"/>
        </w:rPr>
        <w:t xml:space="preserve"> 过程检查的时间点根据竞赛活动的不同类型而定。绿色设计竞赛活动一般安排在施工图设计中进行；绿色建造与绿色施工竞赛活动一般安排地下工程、主体结构工程、装饰和安装工程的任一施工阶段进行。</w:t>
      </w:r>
    </w:p>
    <w:p w:rsidR="00E67B4E" w:rsidRDefault="00E67B4E">
      <w:pPr>
        <w:spacing w:line="580" w:lineRule="exact"/>
        <w:ind w:firstLineChars="200" w:firstLine="640"/>
        <w:rPr>
          <w:rFonts w:ascii="仿宋_GB2312" w:eastAsia="仿宋_GB2312" w:hAnsi="仿宋"/>
          <w:b/>
          <w:color w:val="000000"/>
          <w:sz w:val="32"/>
          <w:szCs w:val="32"/>
        </w:rPr>
      </w:pPr>
      <w:r>
        <w:rPr>
          <w:rFonts w:ascii="黑体" w:eastAsia="黑体" w:hAnsi="黑体" w:cs="黑体" w:hint="eastAsia"/>
          <w:bCs/>
          <w:color w:val="000000"/>
          <w:sz w:val="32"/>
          <w:szCs w:val="32"/>
        </w:rPr>
        <w:t xml:space="preserve">第三十条 </w:t>
      </w:r>
      <w:r>
        <w:rPr>
          <w:rFonts w:ascii="仿宋_GB2312" w:eastAsia="仿宋_GB2312" w:hAnsi="仿宋" w:hint="eastAsia"/>
          <w:color w:val="000000"/>
          <w:sz w:val="32"/>
          <w:szCs w:val="32"/>
        </w:rPr>
        <w:t>初赛组织单位完成的过程检查结果应及时报送组委会办公室，组委会办公室将组织专家抽查核实检查结果，进行过程检查。抽查数量不超过30%。</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第七章 成果推广</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第三十一条</w:t>
      </w:r>
      <w:r>
        <w:rPr>
          <w:rFonts w:ascii="仿宋_GB2312" w:eastAsia="仿宋_GB2312" w:hAnsi="仿宋" w:hint="eastAsia"/>
          <w:color w:val="000000"/>
          <w:sz w:val="32"/>
          <w:szCs w:val="32"/>
        </w:rPr>
        <w:t xml:space="preserve"> 竞赛活动项目提供的材料以及竞赛活动结果文件保留3年。</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lastRenderedPageBreak/>
        <w:t>第三十二条</w:t>
      </w:r>
      <w:r>
        <w:rPr>
          <w:rFonts w:ascii="仿宋_GB2312" w:eastAsia="仿宋_GB2312" w:hAnsi="仿宋" w:hint="eastAsia"/>
          <w:color w:val="000000"/>
          <w:sz w:val="32"/>
          <w:szCs w:val="32"/>
        </w:rPr>
        <w:t xml:space="preserve"> 中建协绿色与智能分会负责编制竞赛活动成果汇编，宣传推广绿色建造技术和管理成果。</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第三十三条</w:t>
      </w:r>
      <w:r>
        <w:rPr>
          <w:rFonts w:ascii="仿宋_GB2312" w:eastAsia="仿宋_GB2312" w:hAnsi="仿宋" w:hint="eastAsia"/>
          <w:color w:val="000000"/>
          <w:sz w:val="32"/>
          <w:szCs w:val="32"/>
        </w:rPr>
        <w:t xml:space="preserve"> 中建协绿色与智能分会在获得一等成果的项目中选择3-5项有特色和代表性的优秀项目成果在全国范围内交流观摩。</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第八章  监督管理</w:t>
      </w:r>
    </w:p>
    <w:p w:rsidR="00E67B4E" w:rsidRDefault="00E67B4E">
      <w:pPr>
        <w:pStyle w:val="aa"/>
        <w:shd w:val="clear" w:color="auto" w:fill="FFFFFF"/>
        <w:spacing w:before="0" w:beforeAutospacing="0" w:after="0" w:afterAutospacing="0" w:line="580" w:lineRule="exact"/>
        <w:ind w:firstLineChars="200" w:firstLine="640"/>
        <w:jc w:val="both"/>
        <w:rPr>
          <w:rFonts w:ascii="仿宋_GB2312" w:eastAsia="仿宋_GB2312" w:hAnsi="仿宋" w:cs="Times New Roman"/>
          <w:color w:val="000000"/>
          <w:kern w:val="2"/>
          <w:sz w:val="32"/>
          <w:szCs w:val="32"/>
        </w:rPr>
      </w:pPr>
      <w:r>
        <w:rPr>
          <w:rFonts w:ascii="黑体" w:eastAsia="黑体" w:hAnsi="黑体" w:cs="黑体" w:hint="eastAsia"/>
          <w:bCs/>
          <w:color w:val="000000"/>
          <w:kern w:val="2"/>
          <w:sz w:val="32"/>
          <w:szCs w:val="32"/>
        </w:rPr>
        <w:t>第三十四条</w:t>
      </w:r>
      <w:r>
        <w:rPr>
          <w:rFonts w:ascii="仿宋_GB2312" w:eastAsia="仿宋_GB2312" w:hAnsi="Calibri" w:cs="Calibri" w:hint="eastAsia"/>
          <w:color w:val="000000"/>
          <w:kern w:val="2"/>
          <w:sz w:val="32"/>
          <w:szCs w:val="32"/>
        </w:rPr>
        <w:t> </w:t>
      </w:r>
      <w:r>
        <w:rPr>
          <w:rFonts w:ascii="仿宋_GB2312" w:eastAsia="仿宋_GB2312" w:hAnsi="仿宋" w:cs="Times New Roman" w:hint="eastAsia"/>
          <w:color w:val="000000"/>
          <w:kern w:val="2"/>
          <w:sz w:val="32"/>
          <w:szCs w:val="32"/>
        </w:rPr>
        <w:t>竞赛活动接受社会各界监督。任何单位和个人如对竞赛活动结果有异议的，均有权向中建协投诉。</w:t>
      </w:r>
      <w:r>
        <w:rPr>
          <w:rFonts w:ascii="仿宋_GB2312" w:eastAsia="仿宋_GB2312" w:hAnsi="仿宋" w:cs="Times New Roman" w:hint="eastAsia"/>
          <w:color w:val="000000"/>
          <w:kern w:val="2"/>
          <w:sz w:val="32"/>
          <w:szCs w:val="32"/>
        </w:rPr>
        <w:br/>
      </w:r>
      <w:r>
        <w:rPr>
          <w:rFonts w:ascii="仿宋_GB2312" w:eastAsia="仿宋_GB2312" w:hAnsi="仿宋" w:cs="Times New Roman"/>
          <w:color w:val="000000"/>
          <w:kern w:val="2"/>
          <w:sz w:val="32"/>
          <w:szCs w:val="32"/>
        </w:rPr>
        <w:t xml:space="preserve">    </w:t>
      </w:r>
      <w:r>
        <w:rPr>
          <w:rFonts w:ascii="黑体" w:eastAsia="黑体" w:hAnsi="黑体" w:cs="黑体" w:hint="eastAsia"/>
          <w:bCs/>
          <w:color w:val="000000"/>
          <w:kern w:val="2"/>
          <w:sz w:val="32"/>
          <w:szCs w:val="32"/>
        </w:rPr>
        <w:t>第三十五条</w:t>
      </w:r>
      <w:r>
        <w:rPr>
          <w:rFonts w:ascii="仿宋_GB2312" w:eastAsia="仿宋_GB2312" w:hAnsi="Calibri" w:cs="Calibri" w:hint="eastAsia"/>
          <w:color w:val="000000"/>
          <w:kern w:val="2"/>
          <w:sz w:val="32"/>
          <w:szCs w:val="32"/>
        </w:rPr>
        <w:t> </w:t>
      </w:r>
      <w:r>
        <w:rPr>
          <w:rFonts w:ascii="仿宋_GB2312" w:eastAsia="仿宋_GB2312" w:hAnsi="仿宋" w:cs="Times New Roman" w:hint="eastAsia"/>
          <w:color w:val="000000"/>
          <w:kern w:val="2"/>
          <w:sz w:val="32"/>
          <w:szCs w:val="32"/>
        </w:rPr>
        <w:t>参赛企业在竞赛活动过程中，不得有行贿、隐瞒事实、弄虚作假等行为。如发现有上述行为的，取消其参赛资格；对已获竞赛活动成果的取消其资格并予以公告，且2年内不得参赛。因虚假申报对社会公共利益造成损害或引发纠纷的，由参赛企业及其有关责任人承担相关责任。</w:t>
      </w:r>
      <w:r>
        <w:rPr>
          <w:rFonts w:ascii="仿宋_GB2312" w:eastAsia="仿宋_GB2312" w:hAnsi="仿宋" w:cs="Times New Roman" w:hint="eastAsia"/>
          <w:color w:val="000000"/>
          <w:kern w:val="2"/>
          <w:sz w:val="32"/>
          <w:szCs w:val="32"/>
        </w:rPr>
        <w:br/>
        <w:t xml:space="preserve"> </w:t>
      </w:r>
      <w:r>
        <w:rPr>
          <w:rFonts w:ascii="仿宋_GB2312" w:eastAsia="仿宋_GB2312" w:hAnsi="仿宋" w:cs="Times New Roman"/>
          <w:color w:val="000000"/>
          <w:kern w:val="2"/>
          <w:sz w:val="32"/>
          <w:szCs w:val="32"/>
        </w:rPr>
        <w:t xml:space="preserve">   </w:t>
      </w:r>
      <w:r>
        <w:rPr>
          <w:rFonts w:ascii="黑体" w:eastAsia="黑体" w:hAnsi="黑体" w:cs="黑体" w:hint="eastAsia"/>
          <w:bCs/>
          <w:color w:val="000000"/>
          <w:kern w:val="2"/>
          <w:sz w:val="32"/>
          <w:szCs w:val="32"/>
        </w:rPr>
        <w:t>第三十六条</w:t>
      </w:r>
      <w:r>
        <w:rPr>
          <w:rFonts w:ascii="仿宋_GB2312" w:eastAsia="仿宋_GB2312" w:hAnsi="Calibri" w:cs="Calibri" w:hint="eastAsia"/>
          <w:color w:val="000000"/>
          <w:kern w:val="2"/>
          <w:sz w:val="32"/>
          <w:szCs w:val="32"/>
        </w:rPr>
        <w:t> </w:t>
      </w:r>
      <w:r>
        <w:rPr>
          <w:rFonts w:ascii="仿宋_GB2312" w:eastAsia="仿宋_GB2312" w:hAnsi="仿宋" w:cs="Times New Roman" w:hint="eastAsia"/>
          <w:color w:val="000000"/>
          <w:kern w:val="2"/>
          <w:sz w:val="32"/>
          <w:szCs w:val="32"/>
        </w:rPr>
        <w:t>参与竞赛活动相关工作人员，应遵守相关法律，秉公办事、廉洁自律。对于有影响竞赛活动结果公平、公正行为的人员，中建协视其情节轻重和造成的后果，予以通报批评、取消其参加竞赛活动相关工作资格等处理。</w:t>
      </w:r>
    </w:p>
    <w:p w:rsidR="00E67B4E" w:rsidRDefault="00E67B4E">
      <w:pPr>
        <w:spacing w:line="58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第九章  附  则</w:t>
      </w:r>
    </w:p>
    <w:p w:rsidR="00E67B4E" w:rsidRDefault="00E67B4E">
      <w:pPr>
        <w:pStyle w:val="aa"/>
        <w:shd w:val="clear" w:color="auto" w:fill="FFFFFF"/>
        <w:spacing w:before="0" w:beforeAutospacing="0" w:after="0" w:afterAutospacing="0" w:line="580" w:lineRule="exact"/>
        <w:ind w:firstLineChars="200" w:firstLine="640"/>
        <w:jc w:val="both"/>
        <w:rPr>
          <w:rFonts w:ascii="仿宋_GB2312" w:eastAsia="仿宋_GB2312" w:hAnsi="仿宋" w:cs="Times New Roman"/>
          <w:color w:val="000000"/>
          <w:kern w:val="2"/>
          <w:sz w:val="32"/>
          <w:szCs w:val="32"/>
        </w:rPr>
      </w:pPr>
      <w:r>
        <w:rPr>
          <w:rFonts w:ascii="黑体" w:eastAsia="黑体" w:hAnsi="黑体" w:cs="黑体" w:hint="eastAsia"/>
          <w:bCs/>
          <w:color w:val="000000"/>
          <w:kern w:val="2"/>
          <w:sz w:val="32"/>
          <w:szCs w:val="32"/>
        </w:rPr>
        <w:t>第三十七条</w:t>
      </w:r>
      <w:r>
        <w:rPr>
          <w:rFonts w:ascii="仿宋_GB2312" w:eastAsia="仿宋_GB2312" w:hAnsi="Calibri" w:cs="Calibri" w:hint="eastAsia"/>
          <w:color w:val="000000"/>
          <w:kern w:val="2"/>
          <w:sz w:val="32"/>
          <w:szCs w:val="32"/>
        </w:rPr>
        <w:t> </w:t>
      </w:r>
      <w:r>
        <w:rPr>
          <w:rFonts w:ascii="仿宋_GB2312" w:eastAsia="仿宋_GB2312" w:hAnsi="仿宋" w:hint="eastAsia"/>
          <w:color w:val="000000"/>
          <w:sz w:val="32"/>
          <w:szCs w:val="32"/>
        </w:rPr>
        <w:t>本办法由中国建筑业协会绿色建造与智能建筑分会负责解释。</w:t>
      </w:r>
    </w:p>
    <w:p w:rsidR="00E67B4E" w:rsidRDefault="00E67B4E">
      <w:pPr>
        <w:spacing w:line="580" w:lineRule="exact"/>
        <w:ind w:firstLineChars="200" w:firstLine="640"/>
        <w:rPr>
          <w:rFonts w:ascii="仿宋_GB2312" w:eastAsia="仿宋_GB2312" w:hAnsi="仿宋"/>
          <w:color w:val="000000"/>
          <w:sz w:val="32"/>
          <w:szCs w:val="32"/>
        </w:rPr>
      </w:pPr>
      <w:r>
        <w:rPr>
          <w:rFonts w:ascii="黑体" w:eastAsia="黑体" w:hAnsi="黑体" w:cs="黑体" w:hint="eastAsia"/>
          <w:bCs/>
          <w:color w:val="000000"/>
          <w:sz w:val="32"/>
          <w:szCs w:val="32"/>
        </w:rPr>
        <w:t>第三十八条</w:t>
      </w:r>
      <w:r>
        <w:rPr>
          <w:rFonts w:ascii="仿宋_GB2312" w:eastAsia="仿宋_GB2312" w:hAnsi="仿宋" w:hint="eastAsia"/>
          <w:color w:val="000000"/>
          <w:sz w:val="32"/>
          <w:szCs w:val="32"/>
        </w:rPr>
        <w:t xml:space="preserve"> 本办法自发布之日起施行。</w:t>
      </w:r>
    </w:p>
    <w:p w:rsidR="00E67B4E" w:rsidRDefault="00E67B4E">
      <w:pPr>
        <w:spacing w:line="600" w:lineRule="exact"/>
        <w:rPr>
          <w:rFonts w:ascii="仿宋_GB2312" w:eastAsia="仿宋_GB2312"/>
          <w:color w:val="000000"/>
          <w:sz w:val="32"/>
          <w:szCs w:val="32"/>
        </w:rPr>
      </w:pPr>
    </w:p>
    <w:p w:rsidR="00E67B4E" w:rsidRDefault="00E67B4E">
      <w:pPr>
        <w:spacing w:line="600" w:lineRule="exact"/>
        <w:rPr>
          <w:rFonts w:ascii="仿宋_GB2312" w:eastAsia="仿宋_GB2312"/>
          <w:color w:val="000000"/>
          <w:sz w:val="32"/>
          <w:szCs w:val="32"/>
        </w:rPr>
      </w:pPr>
    </w:p>
    <w:p w:rsidR="00E67B4E" w:rsidRDefault="00E67B4E">
      <w:pPr>
        <w:spacing w:line="600" w:lineRule="exact"/>
        <w:rPr>
          <w:rFonts w:ascii="仿宋_GB2312" w:eastAsia="仿宋_GB2312"/>
          <w:color w:val="000000"/>
          <w:sz w:val="32"/>
          <w:szCs w:val="32"/>
        </w:rPr>
      </w:pPr>
    </w:p>
    <w:sectPr w:rsidR="00E67B4E" w:rsidSect="00A87A3E">
      <w:footerReference w:type="default" r:id="rId6"/>
      <w:pgSz w:w="11906" w:h="16838"/>
      <w:pgMar w:top="1588" w:right="1531" w:bottom="1588" w:left="1531" w:header="851" w:footer="992"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D2C" w:rsidRDefault="00222D2C">
      <w:r>
        <w:separator/>
      </w:r>
    </w:p>
  </w:endnote>
  <w:endnote w:type="continuationSeparator" w:id="0">
    <w:p w:rsidR="00222D2C" w:rsidRDefault="00222D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fixed"/>
    <w:sig w:usb0="00000000" w:usb1="080E0000" w:usb2="00000010" w:usb3="00000000" w:csb0="00040000" w:csb1="00000000"/>
  </w:font>
  <w:font w:name="华文仿宋">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B4E" w:rsidRDefault="00A87A3E">
    <w:pPr>
      <w:pStyle w:val="a7"/>
      <w:jc w:val="center"/>
    </w:pPr>
    <w:fldSimple w:instr=" PAGE   \* MERGEFORMAT ">
      <w:r w:rsidR="00772CC2" w:rsidRPr="00772CC2">
        <w:rPr>
          <w:noProof/>
          <w:lang w:val="zh-CN"/>
        </w:rPr>
        <w:t>9</w:t>
      </w:r>
    </w:fldSimple>
  </w:p>
  <w:p w:rsidR="00E67B4E" w:rsidRDefault="00E67B4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D2C" w:rsidRDefault="00222D2C">
      <w:r>
        <w:separator/>
      </w:r>
    </w:p>
  </w:footnote>
  <w:footnote w:type="continuationSeparator" w:id="0">
    <w:p w:rsidR="00222D2C" w:rsidRDefault="00222D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1F8E"/>
    <w:rsid w:val="000163CB"/>
    <w:rsid w:val="00030321"/>
    <w:rsid w:val="00035466"/>
    <w:rsid w:val="0006204C"/>
    <w:rsid w:val="00070E23"/>
    <w:rsid w:val="000970ED"/>
    <w:rsid w:val="000A2211"/>
    <w:rsid w:val="000D1E95"/>
    <w:rsid w:val="00107325"/>
    <w:rsid w:val="00117FF3"/>
    <w:rsid w:val="00140D59"/>
    <w:rsid w:val="00152555"/>
    <w:rsid w:val="00154A71"/>
    <w:rsid w:val="00171629"/>
    <w:rsid w:val="001A5907"/>
    <w:rsid w:val="001B2B0D"/>
    <w:rsid w:val="001F2DBE"/>
    <w:rsid w:val="001F5D82"/>
    <w:rsid w:val="00203DE4"/>
    <w:rsid w:val="00222D2C"/>
    <w:rsid w:val="00240C72"/>
    <w:rsid w:val="00242341"/>
    <w:rsid w:val="00251DAD"/>
    <w:rsid w:val="00261C55"/>
    <w:rsid w:val="0026480E"/>
    <w:rsid w:val="00265364"/>
    <w:rsid w:val="002834C1"/>
    <w:rsid w:val="00284BD8"/>
    <w:rsid w:val="002E3DDA"/>
    <w:rsid w:val="002E5C51"/>
    <w:rsid w:val="00317FDE"/>
    <w:rsid w:val="00330A69"/>
    <w:rsid w:val="003322BC"/>
    <w:rsid w:val="00333D6C"/>
    <w:rsid w:val="00335250"/>
    <w:rsid w:val="00340EF8"/>
    <w:rsid w:val="0034798D"/>
    <w:rsid w:val="00350ADD"/>
    <w:rsid w:val="00373FBB"/>
    <w:rsid w:val="003A7F4C"/>
    <w:rsid w:val="003F1579"/>
    <w:rsid w:val="00402883"/>
    <w:rsid w:val="004139BD"/>
    <w:rsid w:val="00414068"/>
    <w:rsid w:val="00415A28"/>
    <w:rsid w:val="0042124B"/>
    <w:rsid w:val="00431F59"/>
    <w:rsid w:val="00434059"/>
    <w:rsid w:val="00440707"/>
    <w:rsid w:val="00477601"/>
    <w:rsid w:val="004932F1"/>
    <w:rsid w:val="0049681B"/>
    <w:rsid w:val="004C0D3E"/>
    <w:rsid w:val="004C2FE5"/>
    <w:rsid w:val="004C49E6"/>
    <w:rsid w:val="004C766C"/>
    <w:rsid w:val="004C7CA5"/>
    <w:rsid w:val="004E4833"/>
    <w:rsid w:val="004F082F"/>
    <w:rsid w:val="00500434"/>
    <w:rsid w:val="005146E0"/>
    <w:rsid w:val="005172D7"/>
    <w:rsid w:val="0052763A"/>
    <w:rsid w:val="005717B4"/>
    <w:rsid w:val="005A28FC"/>
    <w:rsid w:val="005C7654"/>
    <w:rsid w:val="005D0EDF"/>
    <w:rsid w:val="005D5723"/>
    <w:rsid w:val="005F1A8D"/>
    <w:rsid w:val="00671EED"/>
    <w:rsid w:val="006720CE"/>
    <w:rsid w:val="006819F4"/>
    <w:rsid w:val="0068568A"/>
    <w:rsid w:val="0069152F"/>
    <w:rsid w:val="00692BF7"/>
    <w:rsid w:val="00696B36"/>
    <w:rsid w:val="006A69DE"/>
    <w:rsid w:val="006D1F8E"/>
    <w:rsid w:val="006F0D38"/>
    <w:rsid w:val="00712E17"/>
    <w:rsid w:val="00717C66"/>
    <w:rsid w:val="00727F2A"/>
    <w:rsid w:val="00731FE1"/>
    <w:rsid w:val="00772CC2"/>
    <w:rsid w:val="00792167"/>
    <w:rsid w:val="007D30CC"/>
    <w:rsid w:val="007E406F"/>
    <w:rsid w:val="007E5B22"/>
    <w:rsid w:val="007F1CEB"/>
    <w:rsid w:val="007F4EAD"/>
    <w:rsid w:val="00813825"/>
    <w:rsid w:val="00822B96"/>
    <w:rsid w:val="008400CF"/>
    <w:rsid w:val="0084141B"/>
    <w:rsid w:val="00844C21"/>
    <w:rsid w:val="0086190C"/>
    <w:rsid w:val="00876B46"/>
    <w:rsid w:val="0089740A"/>
    <w:rsid w:val="008A3D97"/>
    <w:rsid w:val="008B2F91"/>
    <w:rsid w:val="008B748C"/>
    <w:rsid w:val="008D3137"/>
    <w:rsid w:val="008D4597"/>
    <w:rsid w:val="008E5FA1"/>
    <w:rsid w:val="008F2F86"/>
    <w:rsid w:val="008F426B"/>
    <w:rsid w:val="00902DF7"/>
    <w:rsid w:val="0092039E"/>
    <w:rsid w:val="00921BF0"/>
    <w:rsid w:val="00926B50"/>
    <w:rsid w:val="00937E9A"/>
    <w:rsid w:val="0094715C"/>
    <w:rsid w:val="0095629D"/>
    <w:rsid w:val="00976343"/>
    <w:rsid w:val="009B6C8B"/>
    <w:rsid w:val="009E2638"/>
    <w:rsid w:val="009F612D"/>
    <w:rsid w:val="00A01CA2"/>
    <w:rsid w:val="00A054C8"/>
    <w:rsid w:val="00A07502"/>
    <w:rsid w:val="00A1504F"/>
    <w:rsid w:val="00A3019F"/>
    <w:rsid w:val="00A5549F"/>
    <w:rsid w:val="00A60729"/>
    <w:rsid w:val="00A65E14"/>
    <w:rsid w:val="00A702D9"/>
    <w:rsid w:val="00A737E0"/>
    <w:rsid w:val="00A81421"/>
    <w:rsid w:val="00A87A3E"/>
    <w:rsid w:val="00AA0DE9"/>
    <w:rsid w:val="00AA4710"/>
    <w:rsid w:val="00AB6A30"/>
    <w:rsid w:val="00B0506E"/>
    <w:rsid w:val="00B22F78"/>
    <w:rsid w:val="00B30214"/>
    <w:rsid w:val="00B34BA0"/>
    <w:rsid w:val="00B36E0C"/>
    <w:rsid w:val="00B37756"/>
    <w:rsid w:val="00B377AA"/>
    <w:rsid w:val="00B45D45"/>
    <w:rsid w:val="00B52424"/>
    <w:rsid w:val="00B52AFA"/>
    <w:rsid w:val="00B678C0"/>
    <w:rsid w:val="00B81ECE"/>
    <w:rsid w:val="00B868E5"/>
    <w:rsid w:val="00B87EDF"/>
    <w:rsid w:val="00B97721"/>
    <w:rsid w:val="00BA75C9"/>
    <w:rsid w:val="00BB3E88"/>
    <w:rsid w:val="00BC03F8"/>
    <w:rsid w:val="00BC1658"/>
    <w:rsid w:val="00BF4312"/>
    <w:rsid w:val="00C02783"/>
    <w:rsid w:val="00C1397A"/>
    <w:rsid w:val="00C26671"/>
    <w:rsid w:val="00C54CA2"/>
    <w:rsid w:val="00C64F84"/>
    <w:rsid w:val="00C8332D"/>
    <w:rsid w:val="00C842D6"/>
    <w:rsid w:val="00C86FAD"/>
    <w:rsid w:val="00C96546"/>
    <w:rsid w:val="00CA2F45"/>
    <w:rsid w:val="00CB2EBC"/>
    <w:rsid w:val="00CE0102"/>
    <w:rsid w:val="00CF3DF5"/>
    <w:rsid w:val="00CF493F"/>
    <w:rsid w:val="00CF5EDB"/>
    <w:rsid w:val="00D049F7"/>
    <w:rsid w:val="00D1603D"/>
    <w:rsid w:val="00D163CF"/>
    <w:rsid w:val="00D31AD6"/>
    <w:rsid w:val="00D37528"/>
    <w:rsid w:val="00D46C6D"/>
    <w:rsid w:val="00D65E6A"/>
    <w:rsid w:val="00D67CD3"/>
    <w:rsid w:val="00D71401"/>
    <w:rsid w:val="00D77041"/>
    <w:rsid w:val="00D91094"/>
    <w:rsid w:val="00DA698E"/>
    <w:rsid w:val="00DB4A0E"/>
    <w:rsid w:val="00DD6890"/>
    <w:rsid w:val="00DE6A8D"/>
    <w:rsid w:val="00DF0FA1"/>
    <w:rsid w:val="00DF77C3"/>
    <w:rsid w:val="00E039D5"/>
    <w:rsid w:val="00E06D99"/>
    <w:rsid w:val="00E17D67"/>
    <w:rsid w:val="00E228BD"/>
    <w:rsid w:val="00E31407"/>
    <w:rsid w:val="00E335D3"/>
    <w:rsid w:val="00E37CA7"/>
    <w:rsid w:val="00E40648"/>
    <w:rsid w:val="00E53244"/>
    <w:rsid w:val="00E61645"/>
    <w:rsid w:val="00E67B4E"/>
    <w:rsid w:val="00E85BAD"/>
    <w:rsid w:val="00EA499E"/>
    <w:rsid w:val="00EA53BA"/>
    <w:rsid w:val="00EC1A69"/>
    <w:rsid w:val="00EC4B4B"/>
    <w:rsid w:val="00EE4D69"/>
    <w:rsid w:val="00EE5C53"/>
    <w:rsid w:val="00F45685"/>
    <w:rsid w:val="00F9317F"/>
    <w:rsid w:val="00FA090F"/>
    <w:rsid w:val="00FA4E80"/>
    <w:rsid w:val="00FA54A0"/>
    <w:rsid w:val="00FA6143"/>
    <w:rsid w:val="00FC2D99"/>
    <w:rsid w:val="00FD39B5"/>
    <w:rsid w:val="00FF21A3"/>
    <w:rsid w:val="0423589F"/>
    <w:rsid w:val="0AEE6C84"/>
    <w:rsid w:val="15FA214C"/>
    <w:rsid w:val="19447D25"/>
    <w:rsid w:val="23FC2BB3"/>
    <w:rsid w:val="2BC20C1D"/>
    <w:rsid w:val="2C6B4180"/>
    <w:rsid w:val="2EB65DE7"/>
    <w:rsid w:val="32D80D55"/>
    <w:rsid w:val="3CD046AC"/>
    <w:rsid w:val="49B1509F"/>
    <w:rsid w:val="53BA6476"/>
    <w:rsid w:val="71205D45"/>
    <w:rsid w:val="7C0A36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lsdException w:name="footer" w:semiHidden="0" w:qFormat="1"/>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annotation subject" w:semiHidden="0"/>
    <w:lsdException w:name="Balloon Text" w:semiHidden="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A3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unhideWhenUsed/>
    <w:rsid w:val="00A87A3E"/>
    <w:rPr>
      <w:sz w:val="21"/>
      <w:szCs w:val="21"/>
    </w:rPr>
  </w:style>
  <w:style w:type="character" w:customStyle="1" w:styleId="Char">
    <w:name w:val="批注文字 Char"/>
    <w:link w:val="a4"/>
    <w:uiPriority w:val="99"/>
    <w:semiHidden/>
    <w:rsid w:val="00A87A3E"/>
    <w:rPr>
      <w:kern w:val="2"/>
      <w:sz w:val="21"/>
      <w:szCs w:val="22"/>
    </w:rPr>
  </w:style>
  <w:style w:type="character" w:customStyle="1" w:styleId="Char0">
    <w:name w:val="日期 Char"/>
    <w:basedOn w:val="a0"/>
    <w:link w:val="a5"/>
    <w:uiPriority w:val="99"/>
    <w:semiHidden/>
    <w:qFormat/>
    <w:rsid w:val="00A87A3E"/>
  </w:style>
  <w:style w:type="character" w:customStyle="1" w:styleId="Char1">
    <w:name w:val="页眉 Char"/>
    <w:link w:val="a6"/>
    <w:uiPriority w:val="99"/>
    <w:semiHidden/>
    <w:qFormat/>
    <w:rsid w:val="00A87A3E"/>
    <w:rPr>
      <w:sz w:val="18"/>
      <w:szCs w:val="18"/>
    </w:rPr>
  </w:style>
  <w:style w:type="character" w:customStyle="1" w:styleId="Char10">
    <w:name w:val="页脚 Char1"/>
    <w:link w:val="a7"/>
    <w:uiPriority w:val="99"/>
    <w:semiHidden/>
    <w:rsid w:val="00A87A3E"/>
    <w:rPr>
      <w:sz w:val="18"/>
      <w:szCs w:val="18"/>
    </w:rPr>
  </w:style>
  <w:style w:type="character" w:customStyle="1" w:styleId="Char2">
    <w:name w:val="批注框文本 Char"/>
    <w:link w:val="a8"/>
    <w:uiPriority w:val="99"/>
    <w:semiHidden/>
    <w:rsid w:val="00A87A3E"/>
    <w:rPr>
      <w:kern w:val="2"/>
      <w:sz w:val="18"/>
      <w:szCs w:val="18"/>
    </w:rPr>
  </w:style>
  <w:style w:type="character" w:customStyle="1" w:styleId="Char3">
    <w:name w:val="批注主题 Char"/>
    <w:link w:val="a9"/>
    <w:uiPriority w:val="99"/>
    <w:semiHidden/>
    <w:rsid w:val="00A87A3E"/>
    <w:rPr>
      <w:b/>
      <w:bCs/>
      <w:kern w:val="2"/>
      <w:sz w:val="21"/>
      <w:szCs w:val="22"/>
    </w:rPr>
  </w:style>
  <w:style w:type="character" w:customStyle="1" w:styleId="Char4">
    <w:name w:val="页脚 Char"/>
    <w:uiPriority w:val="99"/>
    <w:rsid w:val="00A87A3E"/>
    <w:rPr>
      <w:lang w:eastAsia="zh-CN"/>
    </w:rPr>
  </w:style>
  <w:style w:type="paragraph" w:styleId="a7">
    <w:name w:val="footer"/>
    <w:basedOn w:val="a"/>
    <w:link w:val="Char10"/>
    <w:uiPriority w:val="99"/>
    <w:unhideWhenUsed/>
    <w:qFormat/>
    <w:rsid w:val="00A87A3E"/>
    <w:pPr>
      <w:tabs>
        <w:tab w:val="center" w:pos="4153"/>
        <w:tab w:val="right" w:pos="8306"/>
      </w:tabs>
      <w:snapToGrid w:val="0"/>
      <w:jc w:val="left"/>
    </w:pPr>
    <w:rPr>
      <w:kern w:val="0"/>
      <w:sz w:val="18"/>
      <w:szCs w:val="18"/>
    </w:rPr>
  </w:style>
  <w:style w:type="paragraph" w:styleId="a9">
    <w:name w:val="annotation subject"/>
    <w:basedOn w:val="a4"/>
    <w:next w:val="a4"/>
    <w:link w:val="Char3"/>
    <w:uiPriority w:val="99"/>
    <w:unhideWhenUsed/>
    <w:rsid w:val="00A87A3E"/>
    <w:rPr>
      <w:b/>
      <w:bCs/>
    </w:rPr>
  </w:style>
  <w:style w:type="paragraph" w:styleId="aa">
    <w:name w:val="Normal (Web)"/>
    <w:basedOn w:val="a"/>
    <w:uiPriority w:val="99"/>
    <w:unhideWhenUsed/>
    <w:rsid w:val="00A87A3E"/>
    <w:pPr>
      <w:widowControl/>
      <w:spacing w:before="100" w:beforeAutospacing="1" w:after="100" w:afterAutospacing="1"/>
      <w:jc w:val="left"/>
    </w:pPr>
    <w:rPr>
      <w:rFonts w:ascii="宋体" w:hAnsi="宋体" w:cs="宋体"/>
      <w:kern w:val="0"/>
      <w:sz w:val="24"/>
      <w:szCs w:val="24"/>
    </w:rPr>
  </w:style>
  <w:style w:type="paragraph" w:styleId="a6">
    <w:name w:val="header"/>
    <w:basedOn w:val="a"/>
    <w:link w:val="Char1"/>
    <w:uiPriority w:val="99"/>
    <w:unhideWhenUsed/>
    <w:rsid w:val="00A87A3E"/>
    <w:pPr>
      <w:pBdr>
        <w:bottom w:val="single" w:sz="6" w:space="1" w:color="auto"/>
      </w:pBdr>
      <w:tabs>
        <w:tab w:val="center" w:pos="4153"/>
        <w:tab w:val="right" w:pos="8306"/>
      </w:tabs>
      <w:snapToGrid w:val="0"/>
      <w:jc w:val="center"/>
    </w:pPr>
    <w:rPr>
      <w:kern w:val="0"/>
      <w:sz w:val="18"/>
      <w:szCs w:val="18"/>
    </w:rPr>
  </w:style>
  <w:style w:type="paragraph" w:styleId="a8">
    <w:name w:val="Balloon Text"/>
    <w:basedOn w:val="a"/>
    <w:link w:val="Char2"/>
    <w:uiPriority w:val="99"/>
    <w:unhideWhenUsed/>
    <w:rsid w:val="00A87A3E"/>
    <w:rPr>
      <w:sz w:val="18"/>
      <w:szCs w:val="18"/>
    </w:rPr>
  </w:style>
  <w:style w:type="paragraph" w:styleId="a5">
    <w:name w:val="Date"/>
    <w:basedOn w:val="a"/>
    <w:next w:val="a"/>
    <w:link w:val="Char0"/>
    <w:uiPriority w:val="99"/>
    <w:unhideWhenUsed/>
    <w:rsid w:val="00A87A3E"/>
    <w:pPr>
      <w:ind w:leftChars="2500" w:left="100"/>
    </w:pPr>
  </w:style>
  <w:style w:type="paragraph" w:styleId="a4">
    <w:name w:val="annotation text"/>
    <w:basedOn w:val="a"/>
    <w:link w:val="Char"/>
    <w:uiPriority w:val="99"/>
    <w:unhideWhenUsed/>
    <w:rsid w:val="00A87A3E"/>
    <w:pPr>
      <w:jc w:val="left"/>
    </w:pPr>
  </w:style>
  <w:style w:type="table" w:styleId="ab">
    <w:name w:val="Table Grid"/>
    <w:basedOn w:val="a1"/>
    <w:uiPriority w:val="59"/>
    <w:rsid w:val="00A87A3E"/>
    <w:rPr>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777</Words>
  <Characters>4433</Characters>
  <Application>Microsoft Office Word</Application>
  <DocSecurity>0</DocSecurity>
  <Lines>36</Lines>
  <Paragraphs>10</Paragraphs>
  <ScaleCrop>false</ScaleCrop>
  <Company/>
  <LinksUpToDate>false</LinksUpToDate>
  <CharactersWithSpaces>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bijie</dc:creator>
  <cp:lastModifiedBy>张美莲</cp:lastModifiedBy>
  <cp:revision>3</cp:revision>
  <cp:lastPrinted>2021-03-19T01:17:00Z</cp:lastPrinted>
  <dcterms:created xsi:type="dcterms:W3CDTF">2022-03-23T01:36:00Z</dcterms:created>
  <dcterms:modified xsi:type="dcterms:W3CDTF">2022-03-24T02:39:00Z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47BC68EC713740118057969D3E354B92</vt:lpwstr>
  </property>
</Properties>
</file>